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F52" w:rsidRDefault="009E0F52" w:rsidP="00D02298">
      <w:pPr>
        <w:pStyle w:val="AralkYok"/>
        <w:jc w:val="center"/>
      </w:pPr>
    </w:p>
    <w:p w:rsidR="009E0F52" w:rsidRDefault="009E0F52" w:rsidP="00D02298">
      <w:pPr>
        <w:pStyle w:val="AralkYok"/>
        <w:jc w:val="center"/>
      </w:pPr>
    </w:p>
    <w:p w:rsidR="006778C9" w:rsidRPr="00AA576B" w:rsidRDefault="001C3235" w:rsidP="006778C9">
      <w:pPr>
        <w:pStyle w:val="AralkYok"/>
        <w:jc w:val="center"/>
        <w:rPr>
          <w:b/>
        </w:rPr>
      </w:pPr>
      <w:r>
        <w:rPr>
          <w:b/>
        </w:rPr>
        <w:t>2</w:t>
      </w:r>
      <w:bookmarkStart w:id="0" w:name="_GoBack"/>
      <w:bookmarkEnd w:id="0"/>
      <w:r w:rsidR="00755F7B">
        <w:rPr>
          <w:b/>
        </w:rPr>
        <w:t xml:space="preserve">.SINIF </w:t>
      </w:r>
      <w:r w:rsidR="00755F7B" w:rsidRPr="00AA576B">
        <w:rPr>
          <w:b/>
        </w:rPr>
        <w:t>HAYAT BİLGİSİ DERSİ DERS PLANI</w:t>
      </w:r>
    </w:p>
    <w:p w:rsidR="006778C9" w:rsidRPr="00FF1DD2" w:rsidRDefault="00755F7B" w:rsidP="006778C9">
      <w:pPr>
        <w:pStyle w:val="AralkYok"/>
        <w:jc w:val="center"/>
        <w:rPr>
          <w:b/>
          <w:color w:val="FF0000"/>
        </w:rPr>
      </w:pPr>
      <w:r>
        <w:rPr>
          <w:b/>
          <w:color w:val="FF0000"/>
        </w:rPr>
        <w:t>23</w:t>
      </w:r>
      <w:r w:rsidRPr="00FF1DD2">
        <w:rPr>
          <w:b/>
          <w:color w:val="FF0000"/>
        </w:rPr>
        <w:t xml:space="preserve">.Hafta </w:t>
      </w:r>
    </w:p>
    <w:p w:rsidR="006778C9" w:rsidRPr="00AA576B" w:rsidRDefault="00755F7B" w:rsidP="006778C9">
      <w:pPr>
        <w:pStyle w:val="AralkYok"/>
        <w:jc w:val="center"/>
        <w:rPr>
          <w:b/>
        </w:rPr>
      </w:pPr>
      <w:r>
        <w:rPr>
          <w:b/>
        </w:rPr>
        <w:t>(</w:t>
      </w:r>
      <w:r w:rsidR="008367A6">
        <w:rPr>
          <w:b/>
        </w:rPr>
        <w:t>02-06</w:t>
      </w:r>
      <w:r>
        <w:rPr>
          <w:b/>
        </w:rPr>
        <w:t xml:space="preserve"> ŞUBAT 2026)</w:t>
      </w:r>
    </w:p>
    <w:p w:rsidR="006778C9" w:rsidRDefault="006778C9" w:rsidP="006778C9">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4E7DED" w:rsidTr="00F9647B">
        <w:trPr>
          <w:trHeight w:val="28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6778C9" w:rsidRPr="00A62DD1" w:rsidRDefault="00755F7B"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4E7DED" w:rsidTr="00F9647B">
        <w:trPr>
          <w:trHeight w:val="28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b/>
                <w:sz w:val="19"/>
                <w:szCs w:val="19"/>
                <w14:ligatures w14:val="standardContextual"/>
              </w:rPr>
              <w:t xml:space="preserve">YAŞADIĞIM YER VE ÜLKEM  </w:t>
            </w:r>
          </w:p>
        </w:tc>
      </w:tr>
      <w:tr w:rsidR="004E7DED" w:rsidTr="00F9647B">
        <w:trPr>
          <w:trHeight w:val="28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Millî Gün ve Bayramların Önemi</w:t>
            </w:r>
            <w:r w:rsidR="008367A6" w:rsidRPr="00A62DD1">
              <w:rPr>
                <w:rFonts w:ascii="Tahoma" w:hAnsi="Tahoma" w:cs="Tahoma"/>
                <w:b/>
                <w:sz w:val="19"/>
                <w:szCs w:val="19"/>
                <w14:ligatures w14:val="standardContextual"/>
              </w:rPr>
              <w:t xml:space="preserve"> (4</w:t>
            </w:r>
            <w:r w:rsidRPr="00A62DD1">
              <w:rPr>
                <w:rFonts w:ascii="Tahoma" w:hAnsi="Tahoma" w:cs="Tahoma"/>
                <w:b/>
                <w:sz w:val="19"/>
                <w:szCs w:val="19"/>
                <w14:ligatures w14:val="standardContextual"/>
              </w:rPr>
              <w:t xml:space="preserve"> saat)</w:t>
            </w:r>
          </w:p>
        </w:tc>
      </w:tr>
      <w:tr w:rsidR="004E7DED" w:rsidTr="00F9647B">
        <w:trPr>
          <w:trHeight w:val="28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6778C9" w:rsidRPr="00A62DD1" w:rsidRDefault="00755F7B"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HB.2.4.4. Millî gün ve bayramların önemini yorumlayabilme</w:t>
            </w:r>
          </w:p>
          <w:p w:rsidR="006778C9" w:rsidRPr="00A62DD1" w:rsidRDefault="00755F7B"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a) Millî gün ve bayramlara ilişkin deneyimlerini paylaşır.</w:t>
            </w:r>
          </w:p>
          <w:p w:rsidR="006778C9" w:rsidRPr="00A62DD1" w:rsidRDefault="00755F7B" w:rsidP="00F9647B">
            <w:pPr>
              <w:autoSpaceDE w:val="0"/>
              <w:autoSpaceDN w:val="0"/>
              <w:adjustRightInd w:val="0"/>
              <w:rPr>
                <w:rFonts w:ascii="Tahoma" w:hAnsi="Tahoma" w:cs="Tahoma"/>
                <w:b/>
                <w:sz w:val="19"/>
                <w:szCs w:val="19"/>
                <w14:ligatures w14:val="standardContextual"/>
              </w:rPr>
            </w:pPr>
            <w:r w:rsidRPr="00A62DD1">
              <w:rPr>
                <w:rFonts w:ascii="Tahoma" w:hAnsi="Tahoma" w:cs="Tahoma"/>
                <w:b/>
                <w:sz w:val="19"/>
                <w:szCs w:val="19"/>
                <w14:ligatures w14:val="standardContextual"/>
              </w:rPr>
              <w:t xml:space="preserve">     b) Millî gün ve bayramların önemini ifade eder.</w:t>
            </w:r>
          </w:p>
        </w:tc>
      </w:tr>
      <w:tr w:rsidR="004E7DED" w:rsidTr="00F9647B">
        <w:trPr>
          <w:trHeight w:val="28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6778C9" w:rsidRPr="00A62DD1" w:rsidRDefault="00755F7B" w:rsidP="00F9647B">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6778C9" w:rsidRPr="00A62DD1" w:rsidRDefault="00755F7B" w:rsidP="00F9647B">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4E7DED" w:rsidTr="00F9647B">
        <w:trPr>
          <w:trHeight w:val="28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4E7DED" w:rsidTr="00F9647B">
        <w:trPr>
          <w:trHeight w:val="357"/>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sz w:val="19"/>
                <w:szCs w:val="19"/>
                <w14:ligatures w14:val="standardContextual"/>
              </w:rPr>
              <w:t>tarihî mekân, doğal güzellik, yönetim birimi, millî gün ve bayram, dinî gün ve bayram</w:t>
            </w:r>
          </w:p>
        </w:tc>
      </w:tr>
      <w:tr w:rsidR="004E7DED" w:rsidTr="00F9647B">
        <w:trPr>
          <w:trHeight w:val="504"/>
        </w:trPr>
        <w:tc>
          <w:tcPr>
            <w:tcW w:w="2981" w:type="dxa"/>
            <w:gridSpan w:val="2"/>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sz w:val="19"/>
                <w:szCs w:val="19"/>
                <w14:ligatures w14:val="standardContextual"/>
              </w:rPr>
              <w:t xml:space="preserve">Öğrenme çıktıları; kontrol listesi, yapılandırılmış röportaj, görüşme, çalışma yaprağı, rol oynama, canlandırma gibi ölçme araçları ve teknikleri kullanılarak değerlendirilebilir. Resim çizme, şiir yazma, canlandırma etkinlikleri kontrol listesiyle; şiir, şarkı, resim, afiş gibi ürünler ise dereceli puanlama anahtarı ile değerlendirilebilir. Bütüncül değerlendirme için tüm öğrenme çıktılarından oluşan bir izleme testi uygulanabilir. Performans görevinin değerlendirilmesinde akran ve öz değerlendirme formları öğrencilere sunulabilir. </w:t>
            </w:r>
          </w:p>
        </w:tc>
      </w:tr>
      <w:tr w:rsidR="004E7DED" w:rsidTr="00F9647B">
        <w:trPr>
          <w:trHeight w:val="447"/>
        </w:trPr>
        <w:tc>
          <w:tcPr>
            <w:tcW w:w="1459" w:type="dxa"/>
            <w:vMerge w:val="restart"/>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6778C9" w:rsidRPr="00A62DD1" w:rsidRDefault="00755F7B"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Öğrencilerin daha önceden milli bayramlara katıldığı  kabul edilmektedir.</w:t>
            </w:r>
          </w:p>
        </w:tc>
      </w:tr>
      <w:tr w:rsidR="004E7DED" w:rsidTr="00F9647B">
        <w:trPr>
          <w:trHeight w:val="190"/>
        </w:trPr>
        <w:tc>
          <w:tcPr>
            <w:tcW w:w="1459" w:type="dxa"/>
            <w:vMerge/>
            <w:vAlign w:val="center"/>
          </w:tcPr>
          <w:p w:rsidR="006778C9" w:rsidRPr="00A62DD1" w:rsidRDefault="006778C9" w:rsidP="00F9647B">
            <w:pPr>
              <w:pStyle w:val="AralkYok"/>
              <w:rPr>
                <w:rFonts w:ascii="Tahoma" w:hAnsi="Tahoma" w:cs="Tahoma"/>
                <w:b/>
                <w:sz w:val="19"/>
                <w:szCs w:val="19"/>
                <w14:ligatures w14:val="standardContextual"/>
              </w:rPr>
            </w:pPr>
          </w:p>
        </w:tc>
        <w:tc>
          <w:tcPr>
            <w:tcW w:w="1522"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6778C9" w:rsidRPr="00A62DD1" w:rsidRDefault="00755F7B"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xml:space="preserve">Öğrencilere; </w:t>
            </w:r>
            <w:r w:rsidR="008367A6" w:rsidRPr="00A62DD1">
              <w:rPr>
                <w:rFonts w:ascii="Tahoma" w:hAnsi="Tahoma" w:cs="Tahoma"/>
                <w:sz w:val="19"/>
                <w:szCs w:val="19"/>
                <w14:ligatures w14:val="standardContextual"/>
              </w:rPr>
              <w:t>milli bayramlara</w:t>
            </w:r>
            <w:r w:rsidRPr="00A62DD1">
              <w:rPr>
                <w:rFonts w:ascii="Tahoma" w:hAnsi="Tahoma" w:cs="Tahoma"/>
                <w:sz w:val="19"/>
                <w:szCs w:val="19"/>
                <w14:ligatures w14:val="standardContextual"/>
              </w:rPr>
              <w:t xml:space="preserve"> ilişkin aşağıdakil</w:t>
            </w:r>
            <w:r w:rsidR="008367A6" w:rsidRPr="00A62DD1">
              <w:rPr>
                <w:rFonts w:ascii="Tahoma" w:hAnsi="Tahoma" w:cs="Tahoma"/>
                <w:sz w:val="19"/>
                <w:szCs w:val="19"/>
                <w14:ligatures w14:val="standardContextual"/>
              </w:rPr>
              <w:t>ere benzer sorular sorulabilir:</w:t>
            </w:r>
          </w:p>
          <w:p w:rsidR="006778C9" w:rsidRPr="00A62DD1" w:rsidRDefault="00755F7B" w:rsidP="00F9647B">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 Katıldığınız millî gün ve bayr</w:t>
            </w:r>
            <w:r w:rsidR="008367A6" w:rsidRPr="00A62DD1">
              <w:rPr>
                <w:rFonts w:ascii="Tahoma" w:hAnsi="Tahoma" w:cs="Tahoma"/>
                <w:sz w:val="19"/>
                <w:szCs w:val="19"/>
                <w14:ligatures w14:val="standardContextual"/>
              </w:rPr>
              <w:t>amlarda neler hissettiniz?</w:t>
            </w:r>
          </w:p>
        </w:tc>
      </w:tr>
      <w:tr w:rsidR="004E7DED" w:rsidTr="00F9647B">
        <w:trPr>
          <w:trHeight w:val="190"/>
        </w:trPr>
        <w:tc>
          <w:tcPr>
            <w:tcW w:w="1459" w:type="dxa"/>
            <w:vMerge/>
            <w:vAlign w:val="center"/>
          </w:tcPr>
          <w:p w:rsidR="006778C9" w:rsidRPr="00A62DD1" w:rsidRDefault="006778C9" w:rsidP="00F9647B">
            <w:pPr>
              <w:pStyle w:val="AralkYok"/>
              <w:rPr>
                <w:rFonts w:ascii="Tahoma" w:hAnsi="Tahoma" w:cs="Tahoma"/>
                <w:b/>
                <w:sz w:val="19"/>
                <w:szCs w:val="19"/>
                <w14:ligatures w14:val="standardContextual"/>
              </w:rPr>
            </w:pPr>
          </w:p>
        </w:tc>
        <w:tc>
          <w:tcPr>
            <w:tcW w:w="1522"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6778C9" w:rsidRPr="00A62DD1" w:rsidRDefault="00755F7B" w:rsidP="008367A6">
            <w:pPr>
              <w:pStyle w:val="AralkYok"/>
              <w:rPr>
                <w:rFonts w:ascii="Tahoma" w:hAnsi="Tahoma" w:cs="Tahoma"/>
                <w:sz w:val="19"/>
                <w:szCs w:val="19"/>
              </w:rPr>
            </w:pPr>
            <w:r w:rsidRPr="00A62DD1">
              <w:rPr>
                <w:rFonts w:ascii="Tahoma" w:hAnsi="Tahoma" w:cs="Tahoma"/>
                <w:sz w:val="19"/>
                <w:szCs w:val="19"/>
                <w14:ligatures w14:val="standardContextual"/>
              </w:rPr>
              <w:t xml:space="preserve">Öğrencilerin daha önce </w:t>
            </w:r>
            <w:r w:rsidR="008367A6" w:rsidRPr="00A62DD1">
              <w:rPr>
                <w:rFonts w:ascii="Tahoma" w:hAnsi="Tahoma" w:cs="Tahoma"/>
                <w:sz w:val="19"/>
                <w:szCs w:val="19"/>
                <w14:ligatures w14:val="standardContextual"/>
              </w:rPr>
              <w:t>katıldıkları bayramlarla ilgili</w:t>
            </w:r>
            <w:r w:rsidRPr="00A62DD1">
              <w:rPr>
                <w:rFonts w:ascii="Tahoma" w:hAnsi="Tahoma" w:cs="Tahoma"/>
                <w:sz w:val="19"/>
                <w:szCs w:val="19"/>
                <w14:ligatures w14:val="standardContextual"/>
              </w:rPr>
              <w:t xml:space="preserve"> deneyimlerini paylaşmaları istenir.</w:t>
            </w:r>
          </w:p>
        </w:tc>
      </w:tr>
      <w:tr w:rsidR="004E7DED" w:rsidTr="00F9647B">
        <w:trPr>
          <w:trHeight w:val="190"/>
        </w:trPr>
        <w:tc>
          <w:tcPr>
            <w:tcW w:w="1459" w:type="dxa"/>
            <w:vMerge/>
            <w:vAlign w:val="center"/>
          </w:tcPr>
          <w:p w:rsidR="006778C9" w:rsidRPr="00A62DD1" w:rsidRDefault="006778C9" w:rsidP="00F9647B">
            <w:pPr>
              <w:pStyle w:val="AralkYok"/>
              <w:rPr>
                <w:rFonts w:ascii="Tahoma" w:hAnsi="Tahoma" w:cs="Tahoma"/>
                <w:b/>
                <w:sz w:val="19"/>
                <w:szCs w:val="19"/>
                <w14:ligatures w14:val="standardContextual"/>
              </w:rPr>
            </w:pPr>
          </w:p>
        </w:tc>
        <w:tc>
          <w:tcPr>
            <w:tcW w:w="1522"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6778C9" w:rsidRPr="00A62DD1" w:rsidRDefault="00755F7B" w:rsidP="00F9647B">
            <w:pPr>
              <w:autoSpaceDE w:val="0"/>
              <w:autoSpaceDN w:val="0"/>
              <w:adjustRightInd w:val="0"/>
              <w:rPr>
                <w:rFonts w:ascii="Tahoma" w:hAnsi="Tahoma" w:cs="Tahoma"/>
                <w:b/>
                <w:color w:val="000000" w:themeColor="text1"/>
                <w:sz w:val="19"/>
                <w:szCs w:val="19"/>
                <w14:ligatures w14:val="standardContextual"/>
              </w:rPr>
            </w:pPr>
            <w:r w:rsidRPr="00A62DD1">
              <w:rPr>
                <w:rFonts w:ascii="Tahoma" w:hAnsi="Tahoma" w:cs="Tahoma"/>
                <w:b/>
                <w:color w:val="000000" w:themeColor="text1"/>
                <w:sz w:val="19"/>
                <w:szCs w:val="19"/>
                <w14:ligatures w14:val="standardContextual"/>
              </w:rPr>
              <w:t>HB.2.4.4. Millî gün ve bayramların önemini yorumlayabilme (</w:t>
            </w:r>
            <w:r w:rsidR="00BB2948">
              <w:rPr>
                <w:rFonts w:ascii="Tahoma" w:hAnsi="Tahoma" w:cs="Tahoma"/>
                <w:b/>
                <w:color w:val="000000" w:themeColor="text1"/>
                <w:sz w:val="19"/>
                <w:szCs w:val="19"/>
                <w14:ligatures w14:val="standardContextual"/>
              </w:rPr>
              <w:t>4</w:t>
            </w:r>
            <w:r w:rsidRPr="00A62DD1">
              <w:rPr>
                <w:rFonts w:ascii="Tahoma" w:hAnsi="Tahoma" w:cs="Tahoma"/>
                <w:b/>
                <w:color w:val="000000" w:themeColor="text1"/>
                <w:sz w:val="19"/>
                <w:szCs w:val="19"/>
                <w14:ligatures w14:val="standardContextual"/>
              </w:rPr>
              <w:t xml:space="preserve"> saat)</w:t>
            </w:r>
          </w:p>
          <w:p w:rsidR="008367A6" w:rsidRPr="00A62DD1" w:rsidRDefault="00755F7B" w:rsidP="008367A6">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 xml:space="preserve">Öğrencilerden millî gün ve bayramların önemini yorumlayabilmeleri (KB2.14) beklenir. Millî gün ve bayramlara ilişkin deneyimlerini paylaşmaları (a) istenir. 15 Temmuz Demokrasi ve Millî Birlik Günü'nün millî gün olduğu; millî bayramlarımızın ise 29 Ekim Cumhuriyet Bayramı, 23 Nisan Ulusal Egemenlik ve Çocuk Bayramı, 19 Mayıs Atatürk’ü Anma ve Gençlik ve Spor Bayramı ile 30 Ağustos Zafer Bayramı olduğu belirtilir. </w:t>
            </w:r>
          </w:p>
          <w:p w:rsidR="00F9647B" w:rsidRPr="00A62DD1" w:rsidRDefault="00755F7B" w:rsidP="008367A6">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A62DD1">
              <w:rPr>
                <w:rFonts w:ascii="Tahoma" w:hAnsi="Tahoma" w:cs="Tahoma"/>
                <w:color w:val="000000" w:themeColor="text1"/>
                <w:sz w:val="19"/>
                <w:szCs w:val="19"/>
                <w14:ligatures w14:val="standardContextual"/>
              </w:rPr>
              <w:t xml:space="preserve">Konu ile ilgili deneyimlerini anlatmaları veya gösterim, canlandırma gibi tekniklerle sunmaları sağlanır. </w:t>
            </w:r>
          </w:p>
          <w:p w:rsidR="00F9647B" w:rsidRPr="00A62DD1" w:rsidRDefault="00755F7B" w:rsidP="008367A6">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Millî gün ve bayramların</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önemini ifade etmeleri (b) beklenir. Millî gün ve bayramların kültürel mirasımız olduğu ve</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ona değer vermenin önemli olduğu (D14.3), millî birlik ve beraberliği güçlendirmeye katkı</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 xml:space="preserve">sağladığı vurgulanır. </w:t>
            </w:r>
          </w:p>
          <w:p w:rsidR="00F9647B" w:rsidRPr="00A62DD1" w:rsidRDefault="00755F7B" w:rsidP="008367A6">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Öğrencilerin millî gün ve bayramların önemini anlamalarını sağlamak</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için (D19.2) kültürümüzü yansıtan kutlamalar ve törenler ile ilgili video, kısa film, animasyon,</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 xml:space="preserve">hikâye ya da şiirler sunulur. </w:t>
            </w:r>
          </w:p>
          <w:p w:rsidR="006778C9" w:rsidRPr="00A62DD1" w:rsidRDefault="00755F7B" w:rsidP="00F9647B">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Öğrencilerden millî gün ve bayramların önemine ilişkin şiir,</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şarkı, resim, afiş gibi özgün bir ürün oluşturmaları istenir (OB1.3). Öğrencilerin hazırladıkları</w:t>
            </w:r>
            <w:r w:rsidRPr="00A62DD1">
              <w:rPr>
                <w:rFonts w:ascii="Tahoma" w:hAnsi="Tahoma" w:cs="Tahoma"/>
                <w:color w:val="000000" w:themeColor="text1"/>
                <w:sz w:val="19"/>
                <w:szCs w:val="19"/>
                <w14:ligatures w14:val="standardContextual"/>
              </w:rPr>
              <w:t xml:space="preserve"> </w:t>
            </w:r>
            <w:r w:rsidR="008367A6" w:rsidRPr="00A62DD1">
              <w:rPr>
                <w:rFonts w:ascii="Tahoma" w:hAnsi="Tahoma" w:cs="Tahoma"/>
                <w:color w:val="000000" w:themeColor="text1"/>
                <w:sz w:val="19"/>
                <w:szCs w:val="19"/>
                <w14:ligatures w14:val="standardContextual"/>
              </w:rPr>
              <w:t>ürünler portfolyolarına dâhil edilir.</w:t>
            </w:r>
          </w:p>
        </w:tc>
      </w:tr>
      <w:tr w:rsidR="004E7DED" w:rsidTr="00F9647B">
        <w:trPr>
          <w:trHeight w:val="357"/>
        </w:trPr>
        <w:tc>
          <w:tcPr>
            <w:tcW w:w="1459" w:type="dxa"/>
            <w:vMerge w:val="restart"/>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sz w:val="19"/>
                <w:szCs w:val="19"/>
              </w:rPr>
              <w:t>Öğrencilerden millî gün ve bayramların önemine ilişkin bir senaryo yazmaları ve bu senaryoları sunmaları istenebilir.</w:t>
            </w:r>
          </w:p>
        </w:tc>
      </w:tr>
      <w:tr w:rsidR="004E7DED" w:rsidTr="00F9647B">
        <w:trPr>
          <w:trHeight w:val="190"/>
        </w:trPr>
        <w:tc>
          <w:tcPr>
            <w:tcW w:w="1459" w:type="dxa"/>
            <w:vMerge/>
            <w:vAlign w:val="center"/>
          </w:tcPr>
          <w:p w:rsidR="006778C9" w:rsidRPr="00A62DD1" w:rsidRDefault="006778C9" w:rsidP="00F9647B">
            <w:pPr>
              <w:pStyle w:val="AralkYok"/>
              <w:rPr>
                <w:rFonts w:ascii="Tahoma" w:hAnsi="Tahoma" w:cs="Tahoma"/>
                <w:b/>
                <w:sz w:val="19"/>
                <w:szCs w:val="19"/>
                <w14:ligatures w14:val="standardContextual"/>
              </w:rPr>
            </w:pPr>
          </w:p>
        </w:tc>
        <w:tc>
          <w:tcPr>
            <w:tcW w:w="1522" w:type="dxa"/>
            <w:vAlign w:val="center"/>
          </w:tcPr>
          <w:p w:rsidR="006778C9" w:rsidRPr="00A62DD1" w:rsidRDefault="00755F7B" w:rsidP="00F9647B">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6778C9" w:rsidRPr="00A62DD1" w:rsidRDefault="00755F7B" w:rsidP="00F9647B">
            <w:pPr>
              <w:pStyle w:val="AralkYok"/>
              <w:rPr>
                <w:rFonts w:ascii="Tahoma" w:hAnsi="Tahoma" w:cs="Tahoma"/>
                <w:sz w:val="19"/>
                <w:szCs w:val="19"/>
              </w:rPr>
            </w:pPr>
            <w:r w:rsidRPr="00A62DD1">
              <w:rPr>
                <w:rFonts w:ascii="Tahoma" w:hAnsi="Tahoma" w:cs="Tahoma"/>
                <w:sz w:val="19"/>
                <w:szCs w:val="19"/>
              </w:rPr>
              <w:t>Öğrencilerden millî gün ve bayramların önemi hakkında düşüncelerini ifade etmeleri istenebilir.</w:t>
            </w:r>
          </w:p>
        </w:tc>
      </w:tr>
    </w:tbl>
    <w:p w:rsidR="006778C9" w:rsidRDefault="006778C9" w:rsidP="006778C9">
      <w:pPr>
        <w:pStyle w:val="AralkYok"/>
        <w:rPr>
          <w:sz w:val="20"/>
          <w:szCs w:val="20"/>
        </w:rPr>
      </w:pPr>
    </w:p>
    <w:p w:rsidR="006778C9" w:rsidRDefault="00755F7B" w:rsidP="006778C9">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3101340</wp:posOffset>
                </wp:positionH>
                <wp:positionV relativeFrom="paragraph">
                  <wp:posOffset>73660</wp:posOffset>
                </wp:positionV>
                <wp:extent cx="3825240" cy="1203960"/>
                <wp:effectExtent l="0" t="0" r="0" b="0"/>
                <wp:wrapNone/>
                <wp:docPr id="98" name="Grup 98"/>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99" name="Dikdörtgen 99"/>
                        <wps:cNvSpPr/>
                        <wps:spPr>
                          <a:xfrm>
                            <a:off x="0" y="0"/>
                            <a:ext cx="1493520" cy="1203960"/>
                          </a:xfrm>
                          <a:prstGeom prst="rect">
                            <a:avLst/>
                          </a:prstGeom>
                          <a:noFill/>
                          <a:ln w="12700">
                            <a:noFill/>
                            <a:prstDash val="solid"/>
                            <a:miter lim="800000"/>
                          </a:ln>
                          <a:effectLst/>
                        </wps:spPr>
                        <wps:txbx>
                          <w:txbxContent>
                            <w:p w:rsidR="005A4244" w:rsidRPr="007F30E0" w:rsidRDefault="00755F7B" w:rsidP="005A4244">
                              <w:pPr>
                                <w:pStyle w:val="AralkYok"/>
                                <w:jc w:val="center"/>
                                <w:rPr>
                                  <w:color w:val="000000" w:themeColor="text1"/>
                                </w:rPr>
                              </w:pPr>
                              <w:r w:rsidRPr="007F30E0">
                                <w:rPr>
                                  <w:color w:val="000000" w:themeColor="text1"/>
                                </w:rPr>
                                <w:t>OLUR</w:t>
                              </w:r>
                            </w:p>
                            <w:p w:rsidR="005A4244" w:rsidRPr="007F30E0" w:rsidRDefault="00755F7B"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755F7B" w:rsidP="005A4244">
                              <w:pPr>
                                <w:pStyle w:val="AralkYok"/>
                                <w:jc w:val="center"/>
                                <w:rPr>
                                  <w:color w:val="000000" w:themeColor="text1"/>
                                </w:rPr>
                              </w:pPr>
                              <w:r w:rsidRPr="007F30E0">
                                <w:rPr>
                                  <w:color w:val="000000" w:themeColor="text1"/>
                                </w:rPr>
                                <w:t>....................</w:t>
                              </w:r>
                            </w:p>
                            <w:p w:rsidR="005A4244" w:rsidRPr="007F30E0" w:rsidRDefault="00755F7B"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00" name="Dikdörtgen 100">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755F7B"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505379414"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7941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755F7B"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98" o:spid="_x0000_s1025" style="width:301.2pt;height:94.8pt;margin-top:5.8pt;margin-left:244.2pt;position:absolute;z-index:251659264" coordsize="38252,12039">
                <v:rect id="Dikdörtgen 99" o:spid="_x0000_s1026" style="width:14935;height:12039;mso-wrap-style:square;position:absolute;v-text-anchor:middle;visibility:visible" filled="f" stroked="f" strokeweight="1pt">
                  <v:textbox>
                    <w:txbxContent>
                      <w:p w:rsidR="005A4244" w:rsidRPr="007F30E0" w:rsidP="005A4244" w14:paraId="3E3ACBD1" w14:textId="77777777">
                        <w:pPr>
                          <w:pStyle w:val="NoSpacing"/>
                          <w:jc w:val="center"/>
                          <w:rPr>
                            <w:color w:val="000000" w:themeColor="text1"/>
                          </w:rPr>
                        </w:pPr>
                        <w:r w:rsidRPr="007F30E0">
                          <w:rPr>
                            <w:color w:val="000000" w:themeColor="text1"/>
                          </w:rPr>
                          <w:t>OLUR</w:t>
                        </w:r>
                      </w:p>
                      <w:p w:rsidR="005A4244" w:rsidRPr="007F30E0" w:rsidP="005A4244" w14:paraId="70A9D58F" w14:textId="77777777">
                        <w:pPr>
                          <w:pStyle w:val="NoSpacing"/>
                          <w:jc w:val="center"/>
                          <w:rPr>
                            <w:color w:val="000000" w:themeColor="text1"/>
                          </w:rPr>
                        </w:pPr>
                        <w:r w:rsidRPr="007F30E0">
                          <w:rPr>
                            <w:color w:val="000000" w:themeColor="text1"/>
                          </w:rPr>
                          <w:t>.....................</w:t>
                        </w:r>
                      </w:p>
                      <w:p w:rsidR="005A4244" w:rsidRPr="007F30E0" w:rsidP="005A4244" w14:paraId="3E72B77A" w14:textId="77777777">
                        <w:pPr>
                          <w:pStyle w:val="NoSpacing"/>
                          <w:jc w:val="center"/>
                          <w:rPr>
                            <w:color w:val="000000" w:themeColor="text1"/>
                          </w:rPr>
                        </w:pPr>
                      </w:p>
                      <w:p w:rsidR="005A4244" w:rsidRPr="007F30E0" w:rsidP="005A4244" w14:paraId="51F585C8" w14:textId="77777777">
                        <w:pPr>
                          <w:pStyle w:val="NoSpacing"/>
                          <w:jc w:val="center"/>
                          <w:rPr>
                            <w:color w:val="000000" w:themeColor="text1"/>
                          </w:rPr>
                        </w:pPr>
                        <w:r w:rsidRPr="007F30E0">
                          <w:rPr>
                            <w:color w:val="000000" w:themeColor="text1"/>
                          </w:rPr>
                          <w:t>....................</w:t>
                        </w:r>
                      </w:p>
                      <w:p w:rsidR="005A4244" w:rsidRPr="007F30E0" w:rsidP="005A4244" w14:paraId="531A27EA" w14:textId="77777777">
                        <w:pPr>
                          <w:jc w:val="center"/>
                          <w:rPr>
                            <w:color w:val="000000" w:themeColor="text1"/>
                          </w:rPr>
                        </w:pPr>
                        <w:r w:rsidRPr="007F30E0">
                          <w:rPr>
                            <w:color w:val="000000" w:themeColor="text1"/>
                          </w:rPr>
                          <w:t>Okul Müdürü</w:t>
                        </w:r>
                      </w:p>
                    </w:txbxContent>
                  </v:textbox>
                </v:rect>
                <v:rect id="Dikdörtgen 100"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428A9623" w14:textId="77777777">
                        <w:pPr>
                          <w:jc w:val="center"/>
                          <w:rPr>
                            <w:b/>
                            <w:color w:val="0070C0"/>
                          </w:rPr>
                        </w:pPr>
                        <w:drawing>
                          <wp:inline distT="0" distB="0" distL="0" distR="0">
                            <wp:extent cx="1187093" cy="556260"/>
                            <wp:effectExtent l="0" t="0" r="0" b="0"/>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59AEA10B" w14:textId="77777777">
                        <w:pPr>
                          <w:jc w:val="center"/>
                          <w:rPr>
                            <w:b/>
                            <w:color w:val="0070C0"/>
                          </w:rPr>
                        </w:pPr>
                        <w:r w:rsidRPr="007F30E0">
                          <w:rPr>
                            <w:b/>
                            <w:color w:val="0070C0"/>
                          </w:rPr>
                          <w:t>www.mustafakabul.com</w:t>
                        </w:r>
                      </w:p>
                    </w:txbxContent>
                  </v:textbox>
                </v:rect>
              </v:group>
            </w:pict>
          </mc:Fallback>
        </mc:AlternateContent>
      </w:r>
    </w:p>
    <w:p w:rsidR="006778C9" w:rsidRDefault="006778C9" w:rsidP="006778C9">
      <w:pPr>
        <w:pStyle w:val="AralkYok"/>
        <w:jc w:val="center"/>
      </w:pPr>
    </w:p>
    <w:p w:rsidR="006778C9" w:rsidRDefault="006778C9" w:rsidP="006778C9">
      <w:pPr>
        <w:pStyle w:val="AralkYok"/>
        <w:jc w:val="center"/>
      </w:pPr>
    </w:p>
    <w:p w:rsidR="006778C9" w:rsidRDefault="006778C9" w:rsidP="006778C9">
      <w:pPr>
        <w:pStyle w:val="AralkYok"/>
        <w:jc w:val="center"/>
      </w:pPr>
    </w:p>
    <w:p w:rsidR="006778C9" w:rsidRDefault="006778C9" w:rsidP="006778C9">
      <w:pPr>
        <w:pStyle w:val="AralkYok"/>
        <w:jc w:val="center"/>
      </w:pPr>
    </w:p>
    <w:p w:rsidR="006778C9" w:rsidRDefault="006778C9" w:rsidP="006778C9">
      <w:pPr>
        <w:pStyle w:val="AralkYok"/>
        <w:jc w:val="center"/>
      </w:pPr>
    </w:p>
    <w:p w:rsidR="009E0F52" w:rsidRDefault="009E0F52" w:rsidP="00D02298">
      <w:pPr>
        <w:pStyle w:val="AralkYok"/>
        <w:jc w:val="center"/>
      </w:pPr>
    </w:p>
    <w:p w:rsidR="009E0F52" w:rsidRDefault="009E0F52" w:rsidP="00D02298">
      <w:pPr>
        <w:pStyle w:val="AralkYok"/>
        <w:jc w:val="center"/>
      </w:pPr>
    </w:p>
    <w:sectPr w:rsidR="009E0F52" w:rsidSect="00926B9C">
      <w:pgSz w:w="11906" w:h="16838"/>
      <w:pgMar w:top="284" w:right="284" w:bottom="284" w:left="284" w:header="284" w:footer="340" w:gutter="0"/>
      <w:pgNumType w:start="2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380A251E">
      <w:start w:val="1"/>
      <w:numFmt w:val="decimal"/>
      <w:lvlText w:val=""/>
      <w:lvlJc w:val="left"/>
    </w:lvl>
    <w:lvl w:ilvl="1" w:tplc="78060020">
      <w:numFmt w:val="decimal"/>
      <w:lvlText w:val=""/>
      <w:lvlJc w:val="left"/>
    </w:lvl>
    <w:lvl w:ilvl="2" w:tplc="49361916">
      <w:numFmt w:val="decimal"/>
      <w:lvlText w:val=""/>
      <w:lvlJc w:val="left"/>
    </w:lvl>
    <w:lvl w:ilvl="3" w:tplc="A4584332">
      <w:numFmt w:val="decimal"/>
      <w:lvlText w:val=""/>
      <w:lvlJc w:val="left"/>
    </w:lvl>
    <w:lvl w:ilvl="4" w:tplc="3F6A3508">
      <w:numFmt w:val="decimal"/>
      <w:lvlText w:val=""/>
      <w:lvlJc w:val="left"/>
    </w:lvl>
    <w:lvl w:ilvl="5" w:tplc="FABC8942">
      <w:numFmt w:val="decimal"/>
      <w:lvlText w:val=""/>
      <w:lvlJc w:val="left"/>
    </w:lvl>
    <w:lvl w:ilvl="6" w:tplc="51B607CC">
      <w:numFmt w:val="decimal"/>
      <w:lvlText w:val=""/>
      <w:lvlJc w:val="left"/>
    </w:lvl>
    <w:lvl w:ilvl="7" w:tplc="719024D8">
      <w:numFmt w:val="decimal"/>
      <w:lvlText w:val=""/>
      <w:lvlJc w:val="left"/>
    </w:lvl>
    <w:lvl w:ilvl="8" w:tplc="FF308CE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C3235"/>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E7DED"/>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5F7B"/>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73966"/>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5E82E-75DF-48CD-9D23-0C7A3BD4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523</Words>
  <Characters>2984</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2025-08-26T15:36:00Z</dcterms:modified>
  <cp:category>www.mustafakabul.com</cp:category>
</cp:coreProperties>
</file>